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BE5A6" w14:textId="77777777" w:rsidR="000832C2" w:rsidRPr="000832C2" w:rsidRDefault="000832C2" w:rsidP="000832C2">
      <w:pPr>
        <w:tabs>
          <w:tab w:val="left" w:pos="567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0832C2">
        <w:rPr>
          <w:rFonts w:ascii="Times New Roman" w:eastAsia="Times New Roman" w:hAnsi="Times New Roman" w:cs="Times New Roman"/>
          <w:szCs w:val="24"/>
          <w:lang w:eastAsia="ru-RU"/>
        </w:rPr>
        <w:t xml:space="preserve">Приложение № __ </w:t>
      </w:r>
    </w:p>
    <w:p w14:paraId="68B5FA6D" w14:textId="77777777" w:rsidR="000832C2" w:rsidRPr="000832C2" w:rsidRDefault="000832C2" w:rsidP="000832C2">
      <w:pPr>
        <w:tabs>
          <w:tab w:val="left" w:pos="567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0832C2">
        <w:rPr>
          <w:rFonts w:ascii="Times New Roman" w:eastAsia="Times New Roman" w:hAnsi="Times New Roman" w:cs="Times New Roman"/>
          <w:szCs w:val="24"/>
          <w:lang w:eastAsia="ru-RU"/>
        </w:rPr>
        <w:t>к договору ______ от __</w:t>
      </w:r>
      <w:proofErr w:type="gramStart"/>
      <w:r w:rsidRPr="000832C2">
        <w:rPr>
          <w:rFonts w:ascii="Times New Roman" w:eastAsia="Times New Roman" w:hAnsi="Times New Roman" w:cs="Times New Roman"/>
          <w:szCs w:val="24"/>
          <w:lang w:eastAsia="ru-RU"/>
        </w:rPr>
        <w:t>_._</w:t>
      </w:r>
      <w:proofErr w:type="gramEnd"/>
      <w:r w:rsidRPr="000832C2">
        <w:rPr>
          <w:rFonts w:ascii="Times New Roman" w:eastAsia="Times New Roman" w:hAnsi="Times New Roman" w:cs="Times New Roman"/>
          <w:szCs w:val="24"/>
          <w:lang w:eastAsia="ru-RU"/>
        </w:rPr>
        <w:t xml:space="preserve">__.20__ </w:t>
      </w:r>
    </w:p>
    <w:p w14:paraId="285521BC" w14:textId="77777777" w:rsidR="000832C2" w:rsidRDefault="000832C2" w:rsidP="000832C2">
      <w:pPr>
        <w:pStyle w:val="ConsNormal"/>
        <w:tabs>
          <w:tab w:val="left" w:pos="1418"/>
        </w:tabs>
        <w:spacing w:line="259" w:lineRule="auto"/>
        <w:ind w:left="567" w:right="0" w:firstLine="567"/>
        <w:jc w:val="right"/>
        <w:rPr>
          <w:rFonts w:ascii="Times New Roman" w:hAnsi="Times New Roman" w:cs="Times New Roman"/>
          <w:sz w:val="22"/>
          <w:szCs w:val="24"/>
        </w:rPr>
      </w:pPr>
      <w:r w:rsidRPr="000832C2">
        <w:rPr>
          <w:rFonts w:ascii="Times New Roman" w:hAnsi="Times New Roman" w:cs="Times New Roman"/>
          <w:sz w:val="22"/>
          <w:szCs w:val="24"/>
        </w:rPr>
        <w:t xml:space="preserve">№ ___________ </w:t>
      </w:r>
    </w:p>
    <w:p w14:paraId="64FBDF9E" w14:textId="77777777" w:rsidR="000832C2" w:rsidRDefault="000832C2" w:rsidP="000832C2">
      <w:pPr>
        <w:pStyle w:val="ConsNormal"/>
        <w:tabs>
          <w:tab w:val="left" w:pos="1418"/>
        </w:tabs>
        <w:spacing w:line="259" w:lineRule="auto"/>
        <w:ind w:left="567" w:right="0" w:firstLine="567"/>
        <w:jc w:val="right"/>
        <w:rPr>
          <w:rFonts w:ascii="Times New Roman" w:hAnsi="Times New Roman" w:cs="Times New Roman"/>
          <w:color w:val="FF0000"/>
          <w:szCs w:val="24"/>
        </w:rPr>
      </w:pPr>
      <w:r w:rsidRPr="000832C2">
        <w:rPr>
          <w:rFonts w:ascii="Times New Roman" w:hAnsi="Times New Roman" w:cs="Times New Roman"/>
          <w:i/>
          <w:color w:val="FF0000"/>
          <w:szCs w:val="24"/>
        </w:rPr>
        <w:t>Указать наименование договора и его реквизиты</w:t>
      </w:r>
    </w:p>
    <w:p w14:paraId="2DBEA4B0" w14:textId="77777777" w:rsidR="000832C2" w:rsidRDefault="000832C2" w:rsidP="000832C2">
      <w:pPr>
        <w:pStyle w:val="ConsNormal"/>
        <w:tabs>
          <w:tab w:val="left" w:pos="1418"/>
        </w:tabs>
        <w:spacing w:line="259" w:lineRule="auto"/>
        <w:ind w:left="567" w:right="0" w:firstLine="567"/>
        <w:jc w:val="right"/>
        <w:rPr>
          <w:rFonts w:ascii="Times New Roman" w:hAnsi="Times New Roman" w:cs="Times New Roman"/>
          <w:color w:val="FF0000"/>
          <w:szCs w:val="24"/>
        </w:rPr>
      </w:pPr>
    </w:p>
    <w:p w14:paraId="05C0CA2F" w14:textId="77777777" w:rsidR="000832C2" w:rsidRDefault="000832C2" w:rsidP="000832C2">
      <w:pPr>
        <w:pStyle w:val="ConsNormal"/>
        <w:spacing w:line="259" w:lineRule="auto"/>
        <w:ind w:left="567" w:right="0" w:firstLine="567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0832C2">
        <w:rPr>
          <w:rFonts w:ascii="Times New Roman" w:hAnsi="Times New Roman" w:cs="Times New Roman"/>
          <w:b/>
          <w:color w:val="000000" w:themeColor="text1"/>
          <w:sz w:val="24"/>
        </w:rPr>
        <w:t>О</w:t>
      </w:r>
      <w:r>
        <w:rPr>
          <w:rFonts w:ascii="Times New Roman" w:hAnsi="Times New Roman" w:cs="Times New Roman"/>
          <w:b/>
          <w:color w:val="000000" w:themeColor="text1"/>
          <w:sz w:val="24"/>
        </w:rPr>
        <w:t>БЕСПЕЧЕНИЕ АВАНСОВОГО ПЛАТЕЖА БАНКОВСКОЙ ГАРАНТИЕЙ</w:t>
      </w:r>
    </w:p>
    <w:p w14:paraId="5019232C" w14:textId="77777777" w:rsidR="00B52C02" w:rsidRDefault="00B52C02" w:rsidP="000832C2">
      <w:pPr>
        <w:pStyle w:val="ConsNormal"/>
        <w:spacing w:line="259" w:lineRule="auto"/>
        <w:ind w:left="567" w:right="0" w:firstLine="567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</w:p>
    <w:p w14:paraId="6F672E5E" w14:textId="77777777" w:rsidR="00B52C02" w:rsidRPr="00B52C02" w:rsidRDefault="00B52C02" w:rsidP="00B52C02">
      <w:pPr>
        <w:spacing w:after="0" w:line="240" w:lineRule="auto"/>
        <w:ind w:right="709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B52C02">
        <w:rPr>
          <w:rFonts w:ascii="Times New Roman" w:eastAsia="Times New Roman" w:hAnsi="Times New Roman" w:cs="Times New Roman"/>
          <w:bCs/>
          <w:szCs w:val="20"/>
          <w:lang w:eastAsia="ru-RU"/>
        </w:rPr>
        <w:t>Термины и обозначения</w:t>
      </w:r>
    </w:p>
    <w:p w14:paraId="646AAEC1" w14:textId="77777777" w:rsidR="00B52C02" w:rsidRPr="00B52C02" w:rsidRDefault="00B52C02" w:rsidP="00B52C0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6568"/>
      </w:tblGrid>
      <w:tr w:rsidR="00B52C02" w:rsidRPr="00B52C02" w14:paraId="4B57C96A" w14:textId="77777777" w:rsidTr="00B52C02">
        <w:trPr>
          <w:trHeight w:val="254"/>
        </w:trPr>
        <w:tc>
          <w:tcPr>
            <w:tcW w:w="2787" w:type="dxa"/>
            <w:tcBorders>
              <w:bottom w:val="single" w:sz="4" w:space="0" w:color="auto"/>
            </w:tcBorders>
          </w:tcPr>
          <w:p w14:paraId="6BBEFD73" w14:textId="77777777" w:rsidR="00B52C02" w:rsidRPr="00B52C02" w:rsidRDefault="00B52C02" w:rsidP="00B52C02">
            <w:pPr>
              <w:spacing w:after="0" w:line="240" w:lineRule="auto"/>
              <w:rPr>
                <w:b/>
                <w:bCs/>
              </w:rPr>
            </w:pPr>
            <w:r w:rsidRPr="00B52C02">
              <w:rPr>
                <w:b/>
              </w:rPr>
              <w:t>Общество</w:t>
            </w:r>
          </w:p>
        </w:tc>
        <w:tc>
          <w:tcPr>
            <w:tcW w:w="6568" w:type="dxa"/>
            <w:tcBorders>
              <w:bottom w:val="single" w:sz="4" w:space="0" w:color="auto"/>
            </w:tcBorders>
          </w:tcPr>
          <w:p w14:paraId="190E0EBB" w14:textId="77777777" w:rsidR="00B52C02" w:rsidRPr="00B52C02" w:rsidRDefault="00B52C02" w:rsidP="00B52C02">
            <w:pPr>
              <w:spacing w:after="0" w:line="240" w:lineRule="auto"/>
              <w:jc w:val="both"/>
              <w:rPr>
                <w:bCs/>
                <w:i/>
                <w:color w:val="FF0000"/>
              </w:rPr>
            </w:pPr>
            <w:r w:rsidRPr="00B52C02">
              <w:rPr>
                <w:bCs/>
                <w:i/>
                <w:color w:val="FF0000"/>
              </w:rPr>
              <w:t>указать</w:t>
            </w:r>
          </w:p>
        </w:tc>
      </w:tr>
      <w:tr w:rsidR="00B52C02" w:rsidRPr="00B52C02" w14:paraId="40A0406F" w14:textId="77777777" w:rsidTr="00B52C02">
        <w:trPr>
          <w:trHeight w:val="497"/>
        </w:trPr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</w:tcPr>
          <w:p w14:paraId="01D6CB2B" w14:textId="77777777" w:rsidR="00B52C02" w:rsidRPr="00B52C02" w:rsidRDefault="00B52C02" w:rsidP="00B52C02">
            <w:pPr>
              <w:spacing w:after="0" w:line="240" w:lineRule="auto"/>
              <w:rPr>
                <w:b/>
                <w:bCs/>
              </w:rPr>
            </w:pPr>
            <w:r w:rsidRPr="00B52C02">
              <w:rPr>
                <w:b/>
              </w:rPr>
              <w:t>Стороны</w:t>
            </w:r>
            <w:r w:rsidRPr="00B52C02">
              <w:rPr>
                <w:b/>
                <w:lang w:val="en-US"/>
              </w:rPr>
              <w:t xml:space="preserve"> /</w:t>
            </w:r>
            <w:r w:rsidRPr="00B52C02">
              <w:rPr>
                <w:b/>
              </w:rPr>
              <w:t xml:space="preserve"> Сторона </w:t>
            </w:r>
          </w:p>
        </w:tc>
        <w:tc>
          <w:tcPr>
            <w:tcW w:w="6568" w:type="dxa"/>
            <w:tcBorders>
              <w:top w:val="single" w:sz="4" w:space="0" w:color="auto"/>
              <w:bottom w:val="single" w:sz="4" w:space="0" w:color="auto"/>
            </w:tcBorders>
          </w:tcPr>
          <w:p w14:paraId="283CD410" w14:textId="77777777" w:rsidR="00B52C02" w:rsidRPr="00B52C02" w:rsidRDefault="00B52C02" w:rsidP="00B52C02">
            <w:pPr>
              <w:spacing w:after="0" w:line="240" w:lineRule="auto"/>
              <w:ind w:right="-111"/>
              <w:jc w:val="both"/>
              <w:rPr>
                <w:bCs/>
              </w:rPr>
            </w:pPr>
            <w:r w:rsidRPr="00B52C02">
              <w:t>Общество и/или Контрагент</w:t>
            </w:r>
          </w:p>
        </w:tc>
      </w:tr>
      <w:tr w:rsidR="00B52C02" w:rsidRPr="00B52C02" w14:paraId="156D8994" w14:textId="77777777" w:rsidTr="00B52C02">
        <w:trPr>
          <w:trHeight w:val="497"/>
        </w:trPr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</w:tcPr>
          <w:p w14:paraId="5ED4ABE7" w14:textId="77777777" w:rsidR="00B52C02" w:rsidRPr="00B52C02" w:rsidRDefault="00B52C02" w:rsidP="00B52C02">
            <w:pPr>
              <w:spacing w:after="0" w:line="240" w:lineRule="auto"/>
              <w:rPr>
                <w:b/>
              </w:rPr>
            </w:pPr>
            <w:r w:rsidRPr="00B52C02">
              <w:rPr>
                <w:b/>
              </w:rPr>
              <w:t>Контрагент</w:t>
            </w:r>
          </w:p>
        </w:tc>
        <w:tc>
          <w:tcPr>
            <w:tcW w:w="6568" w:type="dxa"/>
            <w:tcBorders>
              <w:top w:val="single" w:sz="4" w:space="0" w:color="auto"/>
              <w:bottom w:val="single" w:sz="4" w:space="0" w:color="auto"/>
            </w:tcBorders>
          </w:tcPr>
          <w:p w14:paraId="1FD3A4FF" w14:textId="77777777" w:rsidR="00B52C02" w:rsidRPr="00B52C02" w:rsidRDefault="00B52C02" w:rsidP="00B52C02">
            <w:pPr>
              <w:spacing w:after="0" w:line="240" w:lineRule="auto"/>
              <w:ind w:right="-111"/>
              <w:jc w:val="both"/>
            </w:pPr>
            <w:r w:rsidRPr="00B52C02">
              <w:t>Лицо, с которым у Общества заключен Договор</w:t>
            </w:r>
          </w:p>
        </w:tc>
      </w:tr>
      <w:tr w:rsidR="00B52C02" w:rsidRPr="00B52C02" w14:paraId="125A4931" w14:textId="77777777" w:rsidTr="00B52C02">
        <w:trPr>
          <w:trHeight w:val="243"/>
        </w:trPr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</w:tcPr>
          <w:p w14:paraId="2643BC6C" w14:textId="77777777" w:rsidR="00B52C02" w:rsidRPr="00B52C02" w:rsidRDefault="00B52C02" w:rsidP="00B52C02">
            <w:pPr>
              <w:spacing w:after="0" w:line="240" w:lineRule="auto"/>
              <w:rPr>
                <w:b/>
                <w:bCs/>
              </w:rPr>
            </w:pPr>
            <w:r w:rsidRPr="00B52C02">
              <w:rPr>
                <w:b/>
              </w:rPr>
              <w:t>Договор</w:t>
            </w:r>
          </w:p>
        </w:tc>
        <w:tc>
          <w:tcPr>
            <w:tcW w:w="6568" w:type="dxa"/>
            <w:tcBorders>
              <w:top w:val="single" w:sz="4" w:space="0" w:color="auto"/>
              <w:bottom w:val="single" w:sz="4" w:space="0" w:color="auto"/>
            </w:tcBorders>
          </w:tcPr>
          <w:p w14:paraId="0FA043EB" w14:textId="77777777" w:rsidR="00B52C02" w:rsidRPr="00B52C02" w:rsidRDefault="00B52C02" w:rsidP="00B52C02">
            <w:pPr>
              <w:spacing w:after="0" w:line="240" w:lineRule="auto"/>
              <w:jc w:val="both"/>
            </w:pPr>
            <w:r w:rsidRPr="00B52C02">
              <w:t>Документ, указанный в правом верхнем углу Приложения</w:t>
            </w:r>
          </w:p>
        </w:tc>
      </w:tr>
    </w:tbl>
    <w:p w14:paraId="2CB6A6D5" w14:textId="77777777" w:rsidR="000832C2" w:rsidRDefault="000832C2" w:rsidP="00F94DDE">
      <w:pPr>
        <w:pStyle w:val="ConsNormal"/>
        <w:tabs>
          <w:tab w:val="left" w:pos="1418"/>
        </w:tabs>
        <w:spacing w:line="259" w:lineRule="auto"/>
        <w:ind w:left="567" w:right="0"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</w:rPr>
      </w:pPr>
    </w:p>
    <w:p w14:paraId="762AFE89" w14:textId="77777777" w:rsidR="00471094" w:rsidRPr="00423340" w:rsidRDefault="00471094" w:rsidP="00840F04">
      <w:pPr>
        <w:shd w:val="clear" w:color="auto" w:fill="FFFFFF"/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</w:pPr>
      <w:r w:rsidRPr="00423340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0"/>
          <w:lang w:eastAsia="ru-RU"/>
        </w:rPr>
        <w:t>Требования к банковской гарантии</w:t>
      </w:r>
    </w:p>
    <w:p w14:paraId="6A73C0B5" w14:textId="77777777" w:rsidR="00E8083B" w:rsidRPr="00423340" w:rsidRDefault="00840F04" w:rsidP="00E808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>Банковская гарантия должна</w:t>
      </w:r>
      <w:r w:rsidR="00E8083B" w:rsidRPr="00423340">
        <w:rPr>
          <w:rFonts w:ascii="Times New Roman" w:eastAsia="Calibri" w:hAnsi="Times New Roman" w:cs="Times New Roman"/>
        </w:rPr>
        <w:t xml:space="preserve"> отвечать следующим условиям:</w:t>
      </w:r>
    </w:p>
    <w:p w14:paraId="75B4D22B" w14:textId="77777777" w:rsidR="00E8083B" w:rsidRPr="00423340" w:rsidRDefault="00E8083B" w:rsidP="00E8083B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>- быть безотзывной</w:t>
      </w:r>
      <w:r w:rsidR="00CA1AC7">
        <w:rPr>
          <w:rFonts w:ascii="Times New Roman" w:eastAsia="Calibri" w:hAnsi="Times New Roman" w:cs="Times New Roman"/>
        </w:rPr>
        <w:t xml:space="preserve"> и безусловной</w:t>
      </w:r>
      <w:r w:rsidRPr="00423340">
        <w:rPr>
          <w:rFonts w:ascii="Times New Roman" w:eastAsia="Calibri" w:hAnsi="Times New Roman" w:cs="Times New Roman"/>
        </w:rPr>
        <w:t>;</w:t>
      </w:r>
    </w:p>
    <w:p w14:paraId="34EFA379" w14:textId="77777777" w:rsidR="00CA1AC7" w:rsidRDefault="00CA1AC7" w:rsidP="00E8083B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обеспечивать исполнение обязательства по возврату Контрагентом авансового платежа;</w:t>
      </w:r>
    </w:p>
    <w:p w14:paraId="685F2981" w14:textId="7C9076A3" w:rsidR="00E8083B" w:rsidRPr="00423340" w:rsidRDefault="00E8083B" w:rsidP="00E8083B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 xml:space="preserve">- сумма должна быть выражена в </w:t>
      </w:r>
      <w:r w:rsidR="00CA1AC7">
        <w:rPr>
          <w:rFonts w:ascii="Times New Roman" w:eastAsia="Calibri" w:hAnsi="Times New Roman" w:cs="Times New Roman"/>
        </w:rPr>
        <w:t xml:space="preserve">той же валюте, в которой выражены платежи по Договору, и соответствовать сумме авансового платежа, выплачиваемого согласно условиям Договора (сумма </w:t>
      </w:r>
      <w:r w:rsidR="00F05D22">
        <w:rPr>
          <w:rFonts w:ascii="Times New Roman" w:eastAsia="Calibri" w:hAnsi="Times New Roman" w:cs="Times New Roman"/>
        </w:rPr>
        <w:t xml:space="preserve">банковской гарантии должна </w:t>
      </w:r>
      <w:r w:rsidR="00EC1F6D">
        <w:rPr>
          <w:rFonts w:ascii="Times New Roman" w:eastAsia="Calibri" w:hAnsi="Times New Roman" w:cs="Times New Roman"/>
        </w:rPr>
        <w:t>быть не менее суммы</w:t>
      </w:r>
      <w:r w:rsidR="00F05D22">
        <w:rPr>
          <w:rFonts w:ascii="Times New Roman" w:eastAsia="Calibri" w:hAnsi="Times New Roman" w:cs="Times New Roman"/>
        </w:rPr>
        <w:t xml:space="preserve"> </w:t>
      </w:r>
      <w:r w:rsidR="00CA1AC7">
        <w:rPr>
          <w:rFonts w:ascii="Times New Roman" w:eastAsia="Calibri" w:hAnsi="Times New Roman" w:cs="Times New Roman"/>
        </w:rPr>
        <w:t>авансового платежа)</w:t>
      </w:r>
      <w:r w:rsidR="00BC086E">
        <w:rPr>
          <w:rFonts w:ascii="Times New Roman" w:eastAsia="Calibri" w:hAnsi="Times New Roman" w:cs="Times New Roman"/>
        </w:rPr>
        <w:t>. Если авансовый платеж выражен в одной валюте, а уплачивается в другой, то банковская гарантия должна быть номинирована в валюте договора</w:t>
      </w:r>
      <w:r w:rsidR="00D20D10">
        <w:rPr>
          <w:rFonts w:ascii="Times New Roman" w:eastAsia="Calibri" w:hAnsi="Times New Roman" w:cs="Times New Roman"/>
        </w:rPr>
        <w:t xml:space="preserve"> (л</w:t>
      </w:r>
      <w:r w:rsidR="00D9237E">
        <w:rPr>
          <w:rFonts w:ascii="Times New Roman" w:eastAsia="Calibri" w:hAnsi="Times New Roman" w:cs="Times New Roman"/>
        </w:rPr>
        <w:t>ибо в сумме выплаченного аванса, указанной в валюте платежа, если платеж уже был произведен</w:t>
      </w:r>
      <w:r w:rsidR="00EC1F6D">
        <w:rPr>
          <w:rFonts w:ascii="Times New Roman" w:eastAsia="Calibri" w:hAnsi="Times New Roman" w:cs="Times New Roman"/>
        </w:rPr>
        <w:t xml:space="preserve">, либо в валюте платежа с учетом возможной курсовой разницы плюс </w:t>
      </w:r>
      <w:r w:rsidR="007C5E8F">
        <w:rPr>
          <w:rFonts w:ascii="Times New Roman" w:eastAsia="Calibri" w:hAnsi="Times New Roman" w:cs="Times New Roman"/>
        </w:rPr>
        <w:t>2-</w:t>
      </w:r>
      <w:r w:rsidR="00EC1F6D">
        <w:rPr>
          <w:rFonts w:ascii="Times New Roman" w:eastAsia="Calibri" w:hAnsi="Times New Roman" w:cs="Times New Roman"/>
        </w:rPr>
        <w:t>5% к сумме аванса</w:t>
      </w:r>
      <w:r w:rsidR="007C5E8F">
        <w:rPr>
          <w:rFonts w:ascii="Times New Roman" w:eastAsia="Calibri" w:hAnsi="Times New Roman" w:cs="Times New Roman"/>
        </w:rPr>
        <w:t xml:space="preserve"> по усмотрению Бенефициара</w:t>
      </w:r>
      <w:r w:rsidR="00D9237E">
        <w:rPr>
          <w:rFonts w:ascii="Times New Roman" w:eastAsia="Calibri" w:hAnsi="Times New Roman" w:cs="Times New Roman"/>
        </w:rPr>
        <w:t>)</w:t>
      </w:r>
      <w:r w:rsidR="00D64669">
        <w:rPr>
          <w:rFonts w:ascii="Times New Roman" w:eastAsia="Calibri" w:hAnsi="Times New Roman" w:cs="Times New Roman"/>
        </w:rPr>
        <w:t xml:space="preserve">, а платеж </w:t>
      </w:r>
      <w:r w:rsidR="00D20D10">
        <w:rPr>
          <w:rFonts w:ascii="Times New Roman" w:eastAsia="Calibri" w:hAnsi="Times New Roman" w:cs="Times New Roman"/>
        </w:rPr>
        <w:t>по гарантии должен производит</w:t>
      </w:r>
      <w:r w:rsidR="00D9237E">
        <w:rPr>
          <w:rFonts w:ascii="Times New Roman" w:eastAsia="Calibri" w:hAnsi="Times New Roman" w:cs="Times New Roman"/>
        </w:rPr>
        <w:t>ь</w:t>
      </w:r>
      <w:r w:rsidR="00D20D10">
        <w:rPr>
          <w:rFonts w:ascii="Times New Roman" w:eastAsia="Calibri" w:hAnsi="Times New Roman" w:cs="Times New Roman"/>
        </w:rPr>
        <w:t>ся в валюте платежа</w:t>
      </w:r>
      <w:r w:rsidRPr="00423340">
        <w:rPr>
          <w:rFonts w:ascii="Times New Roman" w:eastAsia="Calibri" w:hAnsi="Times New Roman" w:cs="Times New Roman"/>
        </w:rPr>
        <w:t>;</w:t>
      </w:r>
    </w:p>
    <w:p w14:paraId="25C81DD2" w14:textId="77777777" w:rsidR="00E8083B" w:rsidRPr="00423340" w:rsidRDefault="00E8083B" w:rsidP="00E8083B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>- бенефициаром должн</w:t>
      </w:r>
      <w:r w:rsidR="00840F04" w:rsidRPr="00423340">
        <w:rPr>
          <w:rFonts w:ascii="Times New Roman" w:eastAsia="Calibri" w:hAnsi="Times New Roman" w:cs="Times New Roman"/>
        </w:rPr>
        <w:t>о</w:t>
      </w:r>
      <w:r w:rsidRPr="00423340">
        <w:rPr>
          <w:rFonts w:ascii="Times New Roman" w:eastAsia="Calibri" w:hAnsi="Times New Roman" w:cs="Times New Roman"/>
        </w:rPr>
        <w:t xml:space="preserve"> быть указан</w:t>
      </w:r>
      <w:r w:rsidR="00840F04" w:rsidRPr="00423340">
        <w:rPr>
          <w:rFonts w:ascii="Times New Roman" w:eastAsia="Calibri" w:hAnsi="Times New Roman" w:cs="Times New Roman"/>
        </w:rPr>
        <w:t>о Общество</w:t>
      </w:r>
      <w:r w:rsidRPr="00423340">
        <w:rPr>
          <w:rFonts w:ascii="Times New Roman" w:eastAsia="Calibri" w:hAnsi="Times New Roman" w:cs="Times New Roman"/>
        </w:rPr>
        <w:t xml:space="preserve">, принципалом – </w:t>
      </w:r>
      <w:r w:rsidR="00840F04" w:rsidRPr="00423340">
        <w:rPr>
          <w:rFonts w:ascii="Times New Roman" w:eastAsia="Calibri" w:hAnsi="Times New Roman" w:cs="Times New Roman"/>
        </w:rPr>
        <w:t>Контрагент</w:t>
      </w:r>
      <w:r w:rsidRPr="00423340">
        <w:rPr>
          <w:rFonts w:ascii="Times New Roman" w:eastAsia="Calibri" w:hAnsi="Times New Roman" w:cs="Times New Roman"/>
        </w:rPr>
        <w:t>, гарантом – Банк, выдавший банковскую гарантию;</w:t>
      </w:r>
    </w:p>
    <w:p w14:paraId="092CC09B" w14:textId="77777777" w:rsidR="00E8083B" w:rsidRPr="00423340" w:rsidRDefault="00E8083B" w:rsidP="00E8083B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 xml:space="preserve">- должно быть предусмотрено безусловное право </w:t>
      </w:r>
      <w:r w:rsidR="00840F04" w:rsidRPr="00423340">
        <w:rPr>
          <w:rFonts w:ascii="Times New Roman" w:eastAsia="Calibri" w:hAnsi="Times New Roman" w:cs="Times New Roman"/>
        </w:rPr>
        <w:t>б</w:t>
      </w:r>
      <w:r w:rsidRPr="00423340">
        <w:rPr>
          <w:rFonts w:ascii="Times New Roman" w:eastAsia="Calibri" w:hAnsi="Times New Roman" w:cs="Times New Roman"/>
        </w:rPr>
        <w:t xml:space="preserve">енефициара на истребование суммы </w:t>
      </w:r>
      <w:r w:rsidR="00840F04" w:rsidRPr="00423340">
        <w:rPr>
          <w:rFonts w:ascii="Times New Roman" w:eastAsia="Calibri" w:hAnsi="Times New Roman" w:cs="Times New Roman"/>
        </w:rPr>
        <w:t>банковско</w:t>
      </w:r>
      <w:r w:rsidRPr="00423340">
        <w:rPr>
          <w:rFonts w:ascii="Times New Roman" w:eastAsia="Calibri" w:hAnsi="Times New Roman" w:cs="Times New Roman"/>
        </w:rPr>
        <w:t xml:space="preserve">й гарантии полностью или частично при любом нарушении </w:t>
      </w:r>
      <w:r w:rsidR="00840F04" w:rsidRPr="00423340">
        <w:rPr>
          <w:rFonts w:ascii="Times New Roman" w:eastAsia="Calibri" w:hAnsi="Times New Roman" w:cs="Times New Roman"/>
        </w:rPr>
        <w:t>п</w:t>
      </w:r>
      <w:r w:rsidRPr="00423340">
        <w:rPr>
          <w:rFonts w:ascii="Times New Roman" w:eastAsia="Calibri" w:hAnsi="Times New Roman" w:cs="Times New Roman"/>
        </w:rPr>
        <w:t>ринципалом обязательств по Договору</w:t>
      </w:r>
      <w:r w:rsidR="00D9237E">
        <w:rPr>
          <w:rFonts w:ascii="Times New Roman" w:eastAsia="Calibri" w:hAnsi="Times New Roman" w:cs="Times New Roman"/>
        </w:rPr>
        <w:t>, в том числе обязательств по возврату аванса, уплаченного по Договору,</w:t>
      </w:r>
      <w:r w:rsidRPr="00423340">
        <w:rPr>
          <w:rFonts w:ascii="Times New Roman" w:eastAsia="Calibri" w:hAnsi="Times New Roman" w:cs="Times New Roman"/>
        </w:rPr>
        <w:t xml:space="preserve"> в объеме, определяемом требованием </w:t>
      </w:r>
      <w:r w:rsidR="00840F04" w:rsidRPr="00423340">
        <w:rPr>
          <w:rFonts w:ascii="Times New Roman" w:eastAsia="Calibri" w:hAnsi="Times New Roman" w:cs="Times New Roman"/>
        </w:rPr>
        <w:t>б</w:t>
      </w:r>
      <w:r w:rsidRPr="00423340">
        <w:rPr>
          <w:rFonts w:ascii="Times New Roman" w:eastAsia="Calibri" w:hAnsi="Times New Roman" w:cs="Times New Roman"/>
        </w:rPr>
        <w:t xml:space="preserve">енефициара к </w:t>
      </w:r>
      <w:r w:rsidR="00840F04" w:rsidRPr="00423340">
        <w:rPr>
          <w:rFonts w:ascii="Times New Roman" w:eastAsia="Calibri" w:hAnsi="Times New Roman" w:cs="Times New Roman"/>
        </w:rPr>
        <w:t>г</w:t>
      </w:r>
      <w:r w:rsidRPr="00423340">
        <w:rPr>
          <w:rFonts w:ascii="Times New Roman" w:eastAsia="Calibri" w:hAnsi="Times New Roman" w:cs="Times New Roman"/>
        </w:rPr>
        <w:t xml:space="preserve">аранту и в пределах установленной гарантийной суммы. Осуществление выплаты </w:t>
      </w:r>
      <w:r w:rsidR="00840F04" w:rsidRPr="00423340">
        <w:rPr>
          <w:rFonts w:ascii="Times New Roman" w:eastAsia="Calibri" w:hAnsi="Times New Roman" w:cs="Times New Roman"/>
        </w:rPr>
        <w:t>б</w:t>
      </w:r>
      <w:r w:rsidR="004156F2">
        <w:rPr>
          <w:rFonts w:ascii="Times New Roman" w:eastAsia="Calibri" w:hAnsi="Times New Roman" w:cs="Times New Roman"/>
        </w:rPr>
        <w:t xml:space="preserve">енефициару </w:t>
      </w:r>
      <w:r w:rsidRPr="00423340">
        <w:rPr>
          <w:rFonts w:ascii="Times New Roman" w:eastAsia="Calibri" w:hAnsi="Times New Roman" w:cs="Times New Roman"/>
        </w:rPr>
        <w:t xml:space="preserve">по его письменному требованию, осуществляется </w:t>
      </w:r>
      <w:r w:rsidR="00840F04" w:rsidRPr="00423340">
        <w:rPr>
          <w:rFonts w:ascii="Times New Roman" w:eastAsia="Calibri" w:hAnsi="Times New Roman" w:cs="Times New Roman"/>
        </w:rPr>
        <w:t>г</w:t>
      </w:r>
      <w:r w:rsidRPr="00423340">
        <w:rPr>
          <w:rFonts w:ascii="Times New Roman" w:eastAsia="Calibri" w:hAnsi="Times New Roman" w:cs="Times New Roman"/>
        </w:rPr>
        <w:t xml:space="preserve">арантом без предоставления доказательств нарушения </w:t>
      </w:r>
      <w:r w:rsidR="00840F04" w:rsidRPr="00423340">
        <w:rPr>
          <w:rFonts w:ascii="Times New Roman" w:eastAsia="Calibri" w:hAnsi="Times New Roman" w:cs="Times New Roman"/>
        </w:rPr>
        <w:t>п</w:t>
      </w:r>
      <w:r w:rsidRPr="00423340">
        <w:rPr>
          <w:rFonts w:ascii="Times New Roman" w:eastAsia="Calibri" w:hAnsi="Times New Roman" w:cs="Times New Roman"/>
        </w:rPr>
        <w:t>ринципалом договорных обязательств</w:t>
      </w:r>
      <w:r w:rsidR="00840F04" w:rsidRPr="00423340">
        <w:rPr>
          <w:rFonts w:ascii="Times New Roman" w:eastAsia="Calibri" w:hAnsi="Times New Roman" w:cs="Times New Roman"/>
        </w:rPr>
        <w:t>;</w:t>
      </w:r>
    </w:p>
    <w:p w14:paraId="14E5C072" w14:textId="77777777" w:rsidR="00E8083B" w:rsidRPr="00423340" w:rsidRDefault="00E8083B" w:rsidP="00E8083B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>- должна быть выдана в соответствии с требованиями действующего законодательства Р</w:t>
      </w:r>
      <w:r w:rsidR="00A53030">
        <w:rPr>
          <w:rFonts w:ascii="Times New Roman" w:eastAsia="Calibri" w:hAnsi="Times New Roman" w:cs="Times New Roman"/>
        </w:rPr>
        <w:t xml:space="preserve">оссийской </w:t>
      </w:r>
      <w:r w:rsidRPr="00423340">
        <w:rPr>
          <w:rFonts w:ascii="Times New Roman" w:eastAsia="Calibri" w:hAnsi="Times New Roman" w:cs="Times New Roman"/>
        </w:rPr>
        <w:t>Ф</w:t>
      </w:r>
      <w:r w:rsidR="00A53030">
        <w:rPr>
          <w:rFonts w:ascii="Times New Roman" w:eastAsia="Calibri" w:hAnsi="Times New Roman" w:cs="Times New Roman"/>
        </w:rPr>
        <w:t>едерации</w:t>
      </w:r>
      <w:r w:rsidRPr="00423340">
        <w:rPr>
          <w:rFonts w:ascii="Times New Roman" w:eastAsia="Calibri" w:hAnsi="Times New Roman" w:cs="Times New Roman"/>
        </w:rPr>
        <w:t>, а также требований Банка России;</w:t>
      </w:r>
    </w:p>
    <w:p w14:paraId="4D14897D" w14:textId="4D2445A6" w:rsidR="00E8083B" w:rsidRPr="00423340" w:rsidRDefault="00E8083B" w:rsidP="00E808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>- не должно быть условий или требований, противоречащих изложенному в Договоре.</w:t>
      </w:r>
    </w:p>
    <w:p w14:paraId="27EB6378" w14:textId="77777777" w:rsidR="00E8083B" w:rsidRPr="00423340" w:rsidRDefault="00E8083B" w:rsidP="00E808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>Приемлемыми банками-эмитентами являются: ПАО Сбербанк, АО «АЛЬФА-БАНК», Банк ВТБ (ПАО), АО «Газпромбанк», АО «</w:t>
      </w:r>
      <w:proofErr w:type="spellStart"/>
      <w:r w:rsidRPr="00423340">
        <w:rPr>
          <w:rFonts w:ascii="Times New Roman" w:eastAsia="Calibri" w:hAnsi="Times New Roman" w:cs="Times New Roman"/>
        </w:rPr>
        <w:t>Совкомбанк</w:t>
      </w:r>
      <w:proofErr w:type="spellEnd"/>
      <w:r w:rsidRPr="00423340">
        <w:rPr>
          <w:rFonts w:ascii="Times New Roman" w:eastAsia="Calibri" w:hAnsi="Times New Roman" w:cs="Times New Roman"/>
        </w:rPr>
        <w:t>», иной банк с рейтингом российского агентства</w:t>
      </w:r>
      <w:r w:rsidR="00F87726" w:rsidRPr="00423340">
        <w:rPr>
          <w:rFonts w:ascii="Times New Roman" w:hAnsi="Times New Roman" w:cs="Times New Roman"/>
        </w:rPr>
        <w:t xml:space="preserve"> </w:t>
      </w:r>
      <w:r w:rsidR="00F87726" w:rsidRPr="00423340">
        <w:rPr>
          <w:rFonts w:ascii="Times New Roman" w:eastAsia="Calibri" w:hAnsi="Times New Roman" w:cs="Times New Roman"/>
        </w:rPr>
        <w:t>АКРА (АО) (ИНН 9705055855)</w:t>
      </w:r>
      <w:r w:rsidRPr="00423340">
        <w:rPr>
          <w:rFonts w:ascii="Times New Roman" w:eastAsia="Calibri" w:hAnsi="Times New Roman" w:cs="Times New Roman"/>
        </w:rPr>
        <w:t xml:space="preserve"> не ниже уровня ВВВ.</w:t>
      </w:r>
    </w:p>
    <w:p w14:paraId="0C53AB05" w14:textId="77777777" w:rsidR="00E8083B" w:rsidRPr="00423340" w:rsidRDefault="00E8083B" w:rsidP="00E808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 xml:space="preserve">Банк и текст банковской гарантии предварительно согласовывается </w:t>
      </w:r>
      <w:r w:rsidR="00840F04" w:rsidRPr="00423340">
        <w:rPr>
          <w:rFonts w:ascii="Times New Roman" w:eastAsia="Calibri" w:hAnsi="Times New Roman" w:cs="Times New Roman"/>
          <w:iCs/>
        </w:rPr>
        <w:t>с Обществом</w:t>
      </w:r>
      <w:r w:rsidR="007E5101">
        <w:rPr>
          <w:rFonts w:ascii="Times New Roman" w:eastAsia="Calibri" w:hAnsi="Times New Roman" w:cs="Times New Roman"/>
          <w:iCs/>
        </w:rPr>
        <w:t xml:space="preserve"> в письменном виде</w:t>
      </w:r>
      <w:r w:rsidR="00840F04" w:rsidRPr="00423340">
        <w:rPr>
          <w:rFonts w:ascii="Times New Roman" w:eastAsia="Calibri" w:hAnsi="Times New Roman" w:cs="Times New Roman"/>
          <w:iCs/>
        </w:rPr>
        <w:t>.</w:t>
      </w:r>
    </w:p>
    <w:p w14:paraId="00D489AE" w14:textId="77777777" w:rsidR="00CA1AC7" w:rsidRDefault="00CA1AC7" w:rsidP="00E808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Контрагент предоставляет банковскую гарантию Обществу (с подтверждением ее подлинности) в течение 10 (десяти) рабочих дней с даты подписания Договора</w:t>
      </w:r>
      <w:r w:rsidR="00DF296C" w:rsidRPr="00DF296C">
        <w:rPr>
          <w:rFonts w:ascii="Times New Roman" w:eastAsia="Calibri" w:hAnsi="Times New Roman" w:cs="Times New Roman"/>
        </w:rPr>
        <w:t xml:space="preserve"> </w:t>
      </w:r>
      <w:r w:rsidR="00DF296C">
        <w:rPr>
          <w:rFonts w:ascii="Times New Roman" w:eastAsia="Calibri" w:hAnsi="Times New Roman" w:cs="Times New Roman"/>
        </w:rPr>
        <w:t>(если иное не предусмотрено Договором)</w:t>
      </w:r>
      <w:r>
        <w:rPr>
          <w:rFonts w:ascii="Times New Roman" w:eastAsia="Calibri" w:hAnsi="Times New Roman" w:cs="Times New Roman"/>
        </w:rPr>
        <w:t xml:space="preserve">, но в любом случае не позднее, чем за 3 (три) рабочих дня до даты выплаты Обществом авансового платежа в соответствии с Договором. </w:t>
      </w:r>
    </w:p>
    <w:p w14:paraId="74B287CA" w14:textId="6865C70B" w:rsidR="00E8083B" w:rsidRPr="00423340" w:rsidRDefault="00E8083B" w:rsidP="00E808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>Срок действия банковской гарантии: с</w:t>
      </w:r>
      <w:r w:rsidR="00147BFA">
        <w:rPr>
          <w:rFonts w:ascii="Times New Roman" w:eastAsia="Calibri" w:hAnsi="Times New Roman" w:cs="Times New Roman"/>
        </w:rPr>
        <w:t xml:space="preserve"> даты выдачи </w:t>
      </w:r>
      <w:r w:rsidRPr="00423340">
        <w:rPr>
          <w:rFonts w:ascii="Times New Roman" w:eastAsia="Calibri" w:hAnsi="Times New Roman" w:cs="Times New Roman"/>
        </w:rPr>
        <w:t xml:space="preserve">до </w:t>
      </w:r>
      <w:r w:rsidR="005F5997">
        <w:rPr>
          <w:rFonts w:ascii="Times New Roman" w:eastAsia="Calibri" w:hAnsi="Times New Roman" w:cs="Times New Roman"/>
        </w:rPr>
        <w:t xml:space="preserve">даты </w:t>
      </w:r>
      <w:r w:rsidRPr="00423340">
        <w:rPr>
          <w:rFonts w:ascii="Times New Roman" w:eastAsia="Calibri" w:hAnsi="Times New Roman" w:cs="Times New Roman"/>
        </w:rPr>
        <w:t xml:space="preserve">полного исполнения </w:t>
      </w:r>
      <w:r w:rsidR="00840F04" w:rsidRPr="00423340">
        <w:rPr>
          <w:rFonts w:ascii="Times New Roman" w:eastAsia="Calibri" w:hAnsi="Times New Roman" w:cs="Times New Roman"/>
        </w:rPr>
        <w:t xml:space="preserve">Контрагентом </w:t>
      </w:r>
      <w:r w:rsidRPr="00423340">
        <w:rPr>
          <w:rFonts w:ascii="Times New Roman" w:eastAsia="Calibri" w:hAnsi="Times New Roman" w:cs="Times New Roman"/>
        </w:rPr>
        <w:t>обязательств по Договору</w:t>
      </w:r>
      <w:r w:rsidR="0060612F">
        <w:rPr>
          <w:rFonts w:ascii="Times New Roman" w:eastAsia="Calibri" w:hAnsi="Times New Roman" w:cs="Times New Roman"/>
        </w:rPr>
        <w:t>,</w:t>
      </w:r>
      <w:r w:rsidR="005F5997">
        <w:rPr>
          <w:rFonts w:ascii="Times New Roman" w:eastAsia="Calibri" w:hAnsi="Times New Roman" w:cs="Times New Roman"/>
        </w:rPr>
        <w:t xml:space="preserve"> указанной в Договоре,</w:t>
      </w:r>
      <w:r w:rsidRPr="00423340">
        <w:rPr>
          <w:rFonts w:ascii="Times New Roman" w:eastAsia="Calibri" w:hAnsi="Times New Roman" w:cs="Times New Roman"/>
        </w:rPr>
        <w:t xml:space="preserve"> плюс два месяца.</w:t>
      </w:r>
    </w:p>
    <w:p w14:paraId="00103757" w14:textId="77777777" w:rsidR="00175775" w:rsidRPr="00423340" w:rsidRDefault="00175775" w:rsidP="001757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 xml:space="preserve">Вместе с банковской гарантией Контрагент </w:t>
      </w:r>
      <w:r w:rsidR="00A53030">
        <w:rPr>
          <w:rFonts w:ascii="Times New Roman" w:eastAsia="Calibri" w:hAnsi="Times New Roman" w:cs="Times New Roman"/>
        </w:rPr>
        <w:t xml:space="preserve">представляет </w:t>
      </w:r>
      <w:r w:rsidRPr="00423340">
        <w:rPr>
          <w:rFonts w:ascii="Times New Roman" w:eastAsia="Calibri" w:hAnsi="Times New Roman" w:cs="Times New Roman"/>
        </w:rPr>
        <w:t>документы, подтверждающие полномочия подписанта по банковской гарантии.</w:t>
      </w:r>
    </w:p>
    <w:p w14:paraId="0927B34A" w14:textId="77777777" w:rsidR="00175775" w:rsidRPr="00423340" w:rsidRDefault="007E5101" w:rsidP="001757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 xml:space="preserve">Не позднее 3 (трех) рабочих дней с даты выпуска банковской гарантии </w:t>
      </w:r>
      <w:r w:rsidR="00175775" w:rsidRPr="00423340">
        <w:rPr>
          <w:rFonts w:ascii="Times New Roman" w:eastAsia="Calibri" w:hAnsi="Times New Roman" w:cs="Times New Roman"/>
        </w:rPr>
        <w:t xml:space="preserve">Контрагент обеспечивает направление SWIFT/СПФС сообщения Банка, подтверждающего подлинность гарантии, через систему SWIFT/СПФС банка Общества. </w:t>
      </w:r>
      <w:r>
        <w:rPr>
          <w:rFonts w:ascii="Times New Roman" w:eastAsia="Calibri" w:hAnsi="Times New Roman" w:cs="Times New Roman"/>
        </w:rPr>
        <w:t>Сообщение должно содержать номер банковской гарантии, сумму обязательства, срок действия, а также информацию о правомочности подписантов во стороны банка-гаранта. В день направления сообщения банку Общества, Контрагент направляет скан-копию данного сообщения по электронной почте в адрес Заказчика.</w:t>
      </w:r>
      <w:r w:rsidR="00175775" w:rsidRPr="00423340">
        <w:rPr>
          <w:rFonts w:ascii="Times New Roman" w:eastAsia="Calibri" w:hAnsi="Times New Roman" w:cs="Times New Roman"/>
        </w:rPr>
        <w:t xml:space="preserve"> Банковская гарантия может быть передана по системе SWIFT/СПФС в банк Общества, с инструкцией авизовать данную гарантию Обществом. </w:t>
      </w:r>
    </w:p>
    <w:p w14:paraId="5315D794" w14:textId="77777777" w:rsidR="007679B8" w:rsidRDefault="00A321D5" w:rsidP="00A530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Е</w:t>
      </w:r>
      <w:r w:rsidR="0060612F">
        <w:rPr>
          <w:rFonts w:ascii="Times New Roman" w:eastAsia="Calibri" w:hAnsi="Times New Roman" w:cs="Times New Roman"/>
        </w:rPr>
        <w:t xml:space="preserve">сли после </w:t>
      </w:r>
      <w:r>
        <w:rPr>
          <w:rFonts w:ascii="Times New Roman" w:eastAsia="Calibri" w:hAnsi="Times New Roman" w:cs="Times New Roman"/>
        </w:rPr>
        <w:t xml:space="preserve">внесения авансового платежа, обеспеченного банковской гарантией, </w:t>
      </w:r>
      <w:r w:rsidR="0060612F">
        <w:rPr>
          <w:rFonts w:ascii="Times New Roman" w:eastAsia="Calibri" w:hAnsi="Times New Roman" w:cs="Times New Roman"/>
        </w:rPr>
        <w:t>цена Договор</w:t>
      </w:r>
      <w:r>
        <w:rPr>
          <w:rFonts w:ascii="Times New Roman" w:eastAsia="Calibri" w:hAnsi="Times New Roman" w:cs="Times New Roman"/>
        </w:rPr>
        <w:t>а</w:t>
      </w:r>
      <w:r w:rsidR="0060612F">
        <w:rPr>
          <w:rFonts w:ascii="Times New Roman" w:eastAsia="Calibri" w:hAnsi="Times New Roman" w:cs="Times New Roman"/>
        </w:rPr>
        <w:t xml:space="preserve"> увелич</w:t>
      </w:r>
      <w:r w:rsidR="000C1DCF">
        <w:rPr>
          <w:rFonts w:ascii="Times New Roman" w:eastAsia="Calibri" w:hAnsi="Times New Roman" w:cs="Times New Roman"/>
        </w:rPr>
        <w:t>и</w:t>
      </w:r>
      <w:r w:rsidR="0060612F">
        <w:rPr>
          <w:rFonts w:ascii="Times New Roman" w:eastAsia="Calibri" w:hAnsi="Times New Roman" w:cs="Times New Roman"/>
        </w:rPr>
        <w:t xml:space="preserve">тся, </w:t>
      </w:r>
      <w:r w:rsidR="00756361">
        <w:rPr>
          <w:rFonts w:ascii="Times New Roman" w:eastAsia="Calibri" w:hAnsi="Times New Roman" w:cs="Times New Roman"/>
        </w:rPr>
        <w:t xml:space="preserve">что повлечет увеличение размера авансового платежа, </w:t>
      </w:r>
      <w:r w:rsidR="0060612F">
        <w:rPr>
          <w:rFonts w:ascii="Times New Roman" w:eastAsia="Calibri" w:hAnsi="Times New Roman" w:cs="Times New Roman"/>
        </w:rPr>
        <w:t xml:space="preserve">Контрагент не позднее 10 (десяти) календарных дней с момента </w:t>
      </w:r>
      <w:r>
        <w:rPr>
          <w:rFonts w:ascii="Times New Roman" w:eastAsia="Calibri" w:hAnsi="Times New Roman" w:cs="Times New Roman"/>
        </w:rPr>
        <w:t xml:space="preserve">заключения </w:t>
      </w:r>
      <w:r w:rsidR="0060612F">
        <w:rPr>
          <w:rFonts w:ascii="Times New Roman" w:eastAsia="Calibri" w:hAnsi="Times New Roman" w:cs="Times New Roman"/>
        </w:rPr>
        <w:t xml:space="preserve">соответствующего </w:t>
      </w:r>
      <w:r>
        <w:rPr>
          <w:rFonts w:ascii="Times New Roman" w:eastAsia="Calibri" w:hAnsi="Times New Roman" w:cs="Times New Roman"/>
        </w:rPr>
        <w:t xml:space="preserve">дополнительного </w:t>
      </w:r>
      <w:r w:rsidR="0060612F">
        <w:rPr>
          <w:rFonts w:ascii="Times New Roman" w:eastAsia="Calibri" w:hAnsi="Times New Roman" w:cs="Times New Roman"/>
        </w:rPr>
        <w:t xml:space="preserve">соглашения, </w:t>
      </w:r>
      <w:r w:rsidR="006906D9">
        <w:rPr>
          <w:rFonts w:ascii="Times New Roman" w:eastAsia="Calibri" w:hAnsi="Times New Roman" w:cs="Times New Roman"/>
        </w:rPr>
        <w:t xml:space="preserve">но в любом случае не позднее, чем за 3 (три) рабочих дня до даты выплаты Обществом </w:t>
      </w:r>
      <w:r w:rsidR="006906D9" w:rsidRPr="00A321D5">
        <w:rPr>
          <w:rFonts w:ascii="Times New Roman" w:eastAsia="Calibri" w:hAnsi="Times New Roman" w:cs="Times New Roman"/>
        </w:rPr>
        <w:t>разнице</w:t>
      </w:r>
      <w:r w:rsidR="006906D9">
        <w:rPr>
          <w:rFonts w:ascii="Times New Roman" w:eastAsia="Calibri" w:hAnsi="Times New Roman" w:cs="Times New Roman"/>
        </w:rPr>
        <w:t xml:space="preserve"> увеличения авансового платежа в соответствии с Договором </w:t>
      </w:r>
      <w:r w:rsidR="0060612F">
        <w:rPr>
          <w:rFonts w:ascii="Times New Roman" w:eastAsia="Calibri" w:hAnsi="Times New Roman" w:cs="Times New Roman"/>
        </w:rPr>
        <w:t xml:space="preserve">обязуется представить </w:t>
      </w:r>
      <w:r w:rsidRPr="00A321D5">
        <w:rPr>
          <w:rFonts w:ascii="Times New Roman" w:eastAsia="Calibri" w:hAnsi="Times New Roman" w:cs="Times New Roman"/>
        </w:rPr>
        <w:t>измененн</w:t>
      </w:r>
      <w:r>
        <w:rPr>
          <w:rFonts w:ascii="Times New Roman" w:eastAsia="Calibri" w:hAnsi="Times New Roman" w:cs="Times New Roman"/>
        </w:rPr>
        <w:t>ую</w:t>
      </w:r>
      <w:r w:rsidRPr="00A321D5">
        <w:rPr>
          <w:rFonts w:ascii="Times New Roman" w:eastAsia="Calibri" w:hAnsi="Times New Roman" w:cs="Times New Roman"/>
        </w:rPr>
        <w:t xml:space="preserve"> банковск</w:t>
      </w:r>
      <w:r>
        <w:rPr>
          <w:rFonts w:ascii="Times New Roman" w:eastAsia="Calibri" w:hAnsi="Times New Roman" w:cs="Times New Roman"/>
        </w:rPr>
        <w:t>ую</w:t>
      </w:r>
      <w:r w:rsidRPr="00A321D5">
        <w:rPr>
          <w:rFonts w:ascii="Times New Roman" w:eastAsia="Calibri" w:hAnsi="Times New Roman" w:cs="Times New Roman"/>
        </w:rPr>
        <w:t xml:space="preserve"> гаранти</w:t>
      </w:r>
      <w:r>
        <w:rPr>
          <w:rFonts w:ascii="Times New Roman" w:eastAsia="Calibri" w:hAnsi="Times New Roman" w:cs="Times New Roman"/>
        </w:rPr>
        <w:t>ю</w:t>
      </w:r>
      <w:r w:rsidRPr="00A321D5">
        <w:rPr>
          <w:rFonts w:ascii="Times New Roman" w:eastAsia="Calibri" w:hAnsi="Times New Roman" w:cs="Times New Roman"/>
        </w:rPr>
        <w:t xml:space="preserve"> к ранее выданной либо</w:t>
      </w:r>
      <w:r w:rsidDel="00A321D5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новую </w:t>
      </w:r>
      <w:r w:rsidR="0060612F">
        <w:rPr>
          <w:rFonts w:ascii="Times New Roman" w:eastAsia="Calibri" w:hAnsi="Times New Roman" w:cs="Times New Roman"/>
        </w:rPr>
        <w:t xml:space="preserve">банковскую гарантию на сумму </w:t>
      </w:r>
      <w:r w:rsidRPr="00A321D5">
        <w:rPr>
          <w:rFonts w:ascii="Times New Roman" w:eastAsia="Calibri" w:hAnsi="Times New Roman" w:cs="Times New Roman"/>
        </w:rPr>
        <w:t>равную соответствующей разнице</w:t>
      </w:r>
      <w:r w:rsidR="00A334F4">
        <w:rPr>
          <w:rFonts w:ascii="Times New Roman" w:eastAsia="Calibri" w:hAnsi="Times New Roman" w:cs="Times New Roman"/>
        </w:rPr>
        <w:t xml:space="preserve"> увеличения авансового платежа</w:t>
      </w:r>
      <w:r w:rsidR="0060612F">
        <w:rPr>
          <w:rFonts w:ascii="Times New Roman" w:eastAsia="Calibri" w:hAnsi="Times New Roman" w:cs="Times New Roman"/>
        </w:rPr>
        <w:t xml:space="preserve">. </w:t>
      </w:r>
    </w:p>
    <w:p w14:paraId="07FC2B05" w14:textId="77777777" w:rsidR="00A53030" w:rsidRPr="00423340" w:rsidRDefault="00A53030" w:rsidP="00A530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>Все расходы, связанные с выдачей</w:t>
      </w:r>
      <w:r>
        <w:rPr>
          <w:rFonts w:ascii="Times New Roman" w:eastAsia="Calibri" w:hAnsi="Times New Roman" w:cs="Times New Roman"/>
        </w:rPr>
        <w:t xml:space="preserve">, внесением изменений в банковскую гарантию, в том числе </w:t>
      </w:r>
      <w:r w:rsidRPr="00423340">
        <w:rPr>
          <w:rFonts w:ascii="Times New Roman" w:eastAsia="Calibri" w:hAnsi="Times New Roman" w:cs="Times New Roman"/>
        </w:rPr>
        <w:t xml:space="preserve">продлением </w:t>
      </w:r>
      <w:r>
        <w:rPr>
          <w:rFonts w:ascii="Times New Roman" w:eastAsia="Calibri" w:hAnsi="Times New Roman" w:cs="Times New Roman"/>
        </w:rPr>
        <w:t>срока действия</w:t>
      </w:r>
      <w:r w:rsidRPr="00423340">
        <w:rPr>
          <w:rFonts w:ascii="Times New Roman" w:eastAsia="Calibri" w:hAnsi="Times New Roman" w:cs="Times New Roman"/>
        </w:rPr>
        <w:t xml:space="preserve">, </w:t>
      </w:r>
      <w:r>
        <w:rPr>
          <w:rFonts w:ascii="Times New Roman" w:eastAsia="Calibri" w:hAnsi="Times New Roman" w:cs="Times New Roman"/>
        </w:rPr>
        <w:t>требования</w:t>
      </w:r>
      <w:r w:rsidR="000C1DCF">
        <w:rPr>
          <w:rFonts w:ascii="Times New Roman" w:eastAsia="Calibri" w:hAnsi="Times New Roman" w:cs="Times New Roman"/>
        </w:rPr>
        <w:t>ми</w:t>
      </w:r>
      <w:r>
        <w:rPr>
          <w:rFonts w:ascii="Times New Roman" w:eastAsia="Calibri" w:hAnsi="Times New Roman" w:cs="Times New Roman"/>
        </w:rPr>
        <w:t xml:space="preserve"> по банковской гарантии Бенефициаром, </w:t>
      </w:r>
      <w:r w:rsidRPr="00423340">
        <w:rPr>
          <w:rFonts w:ascii="Times New Roman" w:eastAsia="Calibri" w:hAnsi="Times New Roman" w:cs="Times New Roman"/>
        </w:rPr>
        <w:t>оплачиваются Контрагентом самостоятельно, и в стоимость Договора не включаются.</w:t>
      </w:r>
    </w:p>
    <w:p w14:paraId="700B0F71" w14:textId="77777777" w:rsidR="00175775" w:rsidRPr="00423340" w:rsidRDefault="00175775" w:rsidP="00E808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14:paraId="735C5DD4" w14:textId="77777777" w:rsidR="00771A9D" w:rsidRPr="00423340" w:rsidRDefault="00771A9D" w:rsidP="00771A9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233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Последствия просрочки предоставления банковской гарантии</w:t>
      </w:r>
    </w:p>
    <w:p w14:paraId="398890EB" w14:textId="77777777" w:rsidR="00771A9D" w:rsidRPr="00423340" w:rsidRDefault="00DA0932" w:rsidP="00E808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 xml:space="preserve">Несвоевременное предоставление </w:t>
      </w:r>
      <w:r w:rsidR="00840F04" w:rsidRPr="00423340">
        <w:rPr>
          <w:rFonts w:ascii="Times New Roman" w:eastAsia="Calibri" w:hAnsi="Times New Roman" w:cs="Times New Roman"/>
        </w:rPr>
        <w:t>Контрагентом</w:t>
      </w:r>
      <w:r w:rsidRPr="00423340">
        <w:rPr>
          <w:rFonts w:ascii="Times New Roman" w:eastAsia="Calibri" w:hAnsi="Times New Roman" w:cs="Times New Roman"/>
        </w:rPr>
        <w:t xml:space="preserve"> оригинала банковской гарантии и счета на оплату аванса влечет увеличение срока перечисления соответствующего авансового платежа на период просрочки</w:t>
      </w:r>
      <w:r w:rsidR="00840F04" w:rsidRPr="00423340">
        <w:rPr>
          <w:rFonts w:ascii="Times New Roman" w:eastAsia="Calibri" w:hAnsi="Times New Roman" w:cs="Times New Roman"/>
        </w:rPr>
        <w:t>.</w:t>
      </w:r>
    </w:p>
    <w:p w14:paraId="472C476F" w14:textId="77777777" w:rsidR="00914638" w:rsidRPr="00423340" w:rsidRDefault="00914638" w:rsidP="009146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>Нарушение</w:t>
      </w:r>
      <w:r w:rsidR="00840F04" w:rsidRPr="00423340">
        <w:rPr>
          <w:rFonts w:ascii="Times New Roman" w:eastAsia="Calibri" w:hAnsi="Times New Roman" w:cs="Times New Roman"/>
        </w:rPr>
        <w:t xml:space="preserve"> Обществом</w:t>
      </w:r>
      <w:r w:rsidRPr="00423340">
        <w:rPr>
          <w:rFonts w:ascii="Times New Roman" w:eastAsia="Calibri" w:hAnsi="Times New Roman" w:cs="Times New Roman"/>
        </w:rPr>
        <w:t xml:space="preserve"> сроков оплаты аванса, вызванное нарушением</w:t>
      </w:r>
      <w:r w:rsidR="00840F04" w:rsidRPr="00423340">
        <w:rPr>
          <w:rFonts w:ascii="Times New Roman" w:eastAsia="Calibri" w:hAnsi="Times New Roman" w:cs="Times New Roman"/>
        </w:rPr>
        <w:t xml:space="preserve"> Контрагентом</w:t>
      </w:r>
      <w:r w:rsidRPr="00423340">
        <w:rPr>
          <w:rFonts w:ascii="Times New Roman" w:eastAsia="Calibri" w:hAnsi="Times New Roman" w:cs="Times New Roman"/>
        </w:rPr>
        <w:t xml:space="preserve"> сроков предоставления счета на оплату аванса и/или оригинала банковской гарантии, не является основанием для изменения установленных Договором сроков</w:t>
      </w:r>
      <w:r w:rsidR="00B81E77">
        <w:rPr>
          <w:rFonts w:ascii="Times New Roman" w:eastAsia="Calibri" w:hAnsi="Times New Roman" w:cs="Times New Roman"/>
        </w:rPr>
        <w:t xml:space="preserve"> (как промежуточных, так и итоговых)</w:t>
      </w:r>
      <w:r w:rsidRPr="00423340">
        <w:rPr>
          <w:rFonts w:ascii="Times New Roman" w:eastAsia="Calibri" w:hAnsi="Times New Roman" w:cs="Times New Roman"/>
        </w:rPr>
        <w:t xml:space="preserve"> в сторону их увеличения.</w:t>
      </w:r>
      <w:r w:rsidRPr="00423340"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14:paraId="08BD52C8" w14:textId="77777777" w:rsidR="00722495" w:rsidRPr="00423340" w:rsidRDefault="00F774AE" w:rsidP="00F774A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 xml:space="preserve">В случаях нарушения </w:t>
      </w:r>
      <w:r w:rsidR="00423340" w:rsidRPr="00423340">
        <w:rPr>
          <w:rFonts w:ascii="Times New Roman" w:eastAsia="Calibri" w:hAnsi="Times New Roman" w:cs="Times New Roman"/>
        </w:rPr>
        <w:t>Контрагентом</w:t>
      </w:r>
      <w:r w:rsidRPr="00423340">
        <w:rPr>
          <w:rFonts w:ascii="Times New Roman" w:eastAsia="Calibri" w:hAnsi="Times New Roman" w:cs="Times New Roman"/>
        </w:rPr>
        <w:t xml:space="preserve"> сроков предоставления банковской гарантии</w:t>
      </w:r>
      <w:r w:rsidR="00423340" w:rsidRPr="00423340">
        <w:rPr>
          <w:rFonts w:ascii="Times New Roman" w:eastAsia="Calibri" w:hAnsi="Times New Roman" w:cs="Times New Roman"/>
        </w:rPr>
        <w:t xml:space="preserve"> Общество </w:t>
      </w:r>
      <w:r w:rsidRPr="00423340">
        <w:rPr>
          <w:rFonts w:ascii="Times New Roman" w:eastAsia="Calibri" w:hAnsi="Times New Roman" w:cs="Times New Roman"/>
        </w:rPr>
        <w:t xml:space="preserve">вправе взыскать с </w:t>
      </w:r>
      <w:r w:rsidR="00423340" w:rsidRPr="00423340">
        <w:rPr>
          <w:rFonts w:ascii="Times New Roman" w:eastAsia="Calibri" w:hAnsi="Times New Roman" w:cs="Times New Roman"/>
        </w:rPr>
        <w:t xml:space="preserve">Контрагента </w:t>
      </w:r>
      <w:r w:rsidRPr="00423340">
        <w:rPr>
          <w:rFonts w:ascii="Times New Roman" w:eastAsia="Calibri" w:hAnsi="Times New Roman" w:cs="Times New Roman"/>
        </w:rPr>
        <w:t>неустойку в размере 0,1 % от суммы</w:t>
      </w:r>
      <w:r w:rsidR="00423340" w:rsidRPr="00423340">
        <w:rPr>
          <w:rFonts w:ascii="Times New Roman" w:eastAsia="Calibri" w:hAnsi="Times New Roman" w:cs="Times New Roman"/>
        </w:rPr>
        <w:t xml:space="preserve"> банковской гарантии</w:t>
      </w:r>
      <w:r w:rsidRPr="00423340">
        <w:rPr>
          <w:rFonts w:ascii="Times New Roman" w:eastAsia="Calibri" w:hAnsi="Times New Roman" w:cs="Times New Roman"/>
        </w:rPr>
        <w:t xml:space="preserve"> за каждый день просрочки.</w:t>
      </w:r>
    </w:p>
    <w:p w14:paraId="621D73E2" w14:textId="77777777" w:rsidR="00423340" w:rsidRPr="00423340" w:rsidRDefault="00423340" w:rsidP="00F774A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14:paraId="1EF38BE8" w14:textId="77777777" w:rsidR="00914638" w:rsidRPr="00423340" w:rsidRDefault="00722495" w:rsidP="00F94DDE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Действия при окончании срока банковской гарантии</w:t>
      </w:r>
    </w:p>
    <w:p w14:paraId="004AFEDA" w14:textId="77777777" w:rsidR="00E8083B" w:rsidRPr="00423340" w:rsidRDefault="00E8083B" w:rsidP="00E808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 xml:space="preserve">Если до истечения срока действия банковской гарантии остается менее 40 (сорока) рабочих дней, а обязательства по Договору не выполнены или имеется вероятность такого невыполнения, </w:t>
      </w:r>
      <w:r w:rsidR="007679B8">
        <w:rPr>
          <w:rFonts w:ascii="Times New Roman" w:eastAsia="Calibri" w:hAnsi="Times New Roman" w:cs="Times New Roman"/>
        </w:rPr>
        <w:t xml:space="preserve">либо при переносе сроков исполнения обязательств, указанных в Договоре, </w:t>
      </w:r>
      <w:r w:rsidR="00423340" w:rsidRPr="00423340">
        <w:rPr>
          <w:rFonts w:ascii="Times New Roman" w:eastAsia="Calibri" w:hAnsi="Times New Roman" w:cs="Times New Roman"/>
        </w:rPr>
        <w:t>Контрагент</w:t>
      </w:r>
      <w:r w:rsidRPr="00423340">
        <w:rPr>
          <w:rFonts w:ascii="Times New Roman" w:eastAsia="Calibri" w:hAnsi="Times New Roman" w:cs="Times New Roman"/>
        </w:rPr>
        <w:t xml:space="preserve"> </w:t>
      </w:r>
      <w:r w:rsidR="007679B8">
        <w:rPr>
          <w:rFonts w:ascii="Times New Roman" w:eastAsia="Calibri" w:hAnsi="Times New Roman" w:cs="Times New Roman"/>
        </w:rPr>
        <w:t xml:space="preserve">не позднее чем за 30 (тридцать) календарных дней до окончания срока действия ранее выданных банковских гарантий, </w:t>
      </w:r>
      <w:r w:rsidRPr="00423340">
        <w:rPr>
          <w:rFonts w:ascii="Times New Roman" w:eastAsia="Calibri" w:hAnsi="Times New Roman" w:cs="Times New Roman"/>
        </w:rPr>
        <w:t>обязан либо продлить срок действия банковской гарантии</w:t>
      </w:r>
      <w:r w:rsidR="007679B8">
        <w:rPr>
          <w:rFonts w:ascii="Times New Roman" w:eastAsia="Calibri" w:hAnsi="Times New Roman" w:cs="Times New Roman"/>
        </w:rPr>
        <w:t xml:space="preserve"> на период продления срока исполнения обязательств</w:t>
      </w:r>
      <w:r w:rsidR="006667E9">
        <w:rPr>
          <w:rFonts w:ascii="Times New Roman" w:eastAsia="Calibri" w:hAnsi="Times New Roman" w:cs="Times New Roman"/>
        </w:rPr>
        <w:t xml:space="preserve"> плюс два месяца</w:t>
      </w:r>
      <w:r w:rsidRPr="00423340">
        <w:rPr>
          <w:rFonts w:ascii="Times New Roman" w:eastAsia="Calibri" w:hAnsi="Times New Roman" w:cs="Times New Roman"/>
        </w:rPr>
        <w:t xml:space="preserve">, либо предоставить новую банковскую гарантию (на тех же условиях, что и </w:t>
      </w:r>
      <w:r w:rsidR="007679B8">
        <w:rPr>
          <w:rFonts w:ascii="Times New Roman" w:eastAsia="Calibri" w:hAnsi="Times New Roman" w:cs="Times New Roman"/>
        </w:rPr>
        <w:t xml:space="preserve">ранее выданная </w:t>
      </w:r>
      <w:r w:rsidRPr="00423340">
        <w:rPr>
          <w:rFonts w:ascii="Times New Roman" w:eastAsia="Calibri" w:hAnsi="Times New Roman" w:cs="Times New Roman"/>
        </w:rPr>
        <w:t xml:space="preserve">банковская гарантия) на сумму </w:t>
      </w:r>
      <w:proofErr w:type="spellStart"/>
      <w:r w:rsidRPr="00423340">
        <w:rPr>
          <w:rFonts w:ascii="Times New Roman" w:eastAsia="Calibri" w:hAnsi="Times New Roman" w:cs="Times New Roman"/>
        </w:rPr>
        <w:t>незачтенного</w:t>
      </w:r>
      <w:proofErr w:type="spellEnd"/>
      <w:r w:rsidRPr="00423340">
        <w:rPr>
          <w:rFonts w:ascii="Times New Roman" w:eastAsia="Calibri" w:hAnsi="Times New Roman" w:cs="Times New Roman"/>
        </w:rPr>
        <w:t xml:space="preserve"> аванса, действующую с даты прекращения срока действия </w:t>
      </w:r>
      <w:r w:rsidR="007679B8">
        <w:rPr>
          <w:rFonts w:ascii="Times New Roman" w:eastAsia="Calibri" w:hAnsi="Times New Roman" w:cs="Times New Roman"/>
        </w:rPr>
        <w:t xml:space="preserve">ранее выданной </w:t>
      </w:r>
      <w:r w:rsidRPr="00423340">
        <w:rPr>
          <w:rFonts w:ascii="Times New Roman" w:eastAsia="Calibri" w:hAnsi="Times New Roman" w:cs="Times New Roman"/>
        </w:rPr>
        <w:t xml:space="preserve">банковской гарантии до </w:t>
      </w:r>
      <w:r w:rsidR="00F64CBD">
        <w:rPr>
          <w:rFonts w:ascii="Times New Roman" w:eastAsia="Calibri" w:hAnsi="Times New Roman" w:cs="Times New Roman"/>
        </w:rPr>
        <w:t xml:space="preserve">даты </w:t>
      </w:r>
      <w:r w:rsidRPr="00423340">
        <w:rPr>
          <w:rFonts w:ascii="Times New Roman" w:eastAsia="Calibri" w:hAnsi="Times New Roman" w:cs="Times New Roman"/>
        </w:rPr>
        <w:t xml:space="preserve">полного исполнения </w:t>
      </w:r>
      <w:r w:rsidR="00423340" w:rsidRPr="00423340">
        <w:rPr>
          <w:rFonts w:ascii="Times New Roman" w:eastAsia="Calibri" w:hAnsi="Times New Roman" w:cs="Times New Roman"/>
          <w:iCs/>
        </w:rPr>
        <w:t xml:space="preserve">Контрагентом </w:t>
      </w:r>
      <w:r w:rsidRPr="00423340">
        <w:rPr>
          <w:rFonts w:ascii="Times New Roman" w:eastAsia="Calibri" w:hAnsi="Times New Roman" w:cs="Times New Roman"/>
        </w:rPr>
        <w:t>обязательств</w:t>
      </w:r>
      <w:r w:rsidR="007679B8">
        <w:rPr>
          <w:rFonts w:ascii="Times New Roman" w:eastAsia="Calibri" w:hAnsi="Times New Roman" w:cs="Times New Roman"/>
        </w:rPr>
        <w:t>,</w:t>
      </w:r>
      <w:r w:rsidR="00F64CBD">
        <w:rPr>
          <w:rFonts w:ascii="Times New Roman" w:eastAsia="Calibri" w:hAnsi="Times New Roman" w:cs="Times New Roman"/>
        </w:rPr>
        <w:t xml:space="preserve"> указанной в Договоре,</w:t>
      </w:r>
      <w:r w:rsidRPr="00423340">
        <w:rPr>
          <w:rFonts w:ascii="Times New Roman" w:eastAsia="Calibri" w:hAnsi="Times New Roman" w:cs="Times New Roman"/>
        </w:rPr>
        <w:t xml:space="preserve"> плюс два месяца.</w:t>
      </w:r>
    </w:p>
    <w:p w14:paraId="581FB42E" w14:textId="77777777" w:rsidR="00E8083B" w:rsidRPr="00423340" w:rsidRDefault="00E8083B" w:rsidP="00E808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423340">
        <w:rPr>
          <w:rFonts w:ascii="Times New Roman" w:eastAsia="Calibri" w:hAnsi="Times New Roman" w:cs="Times New Roman"/>
        </w:rPr>
        <w:t xml:space="preserve">В случае </w:t>
      </w:r>
      <w:proofErr w:type="spellStart"/>
      <w:r w:rsidRPr="00423340">
        <w:rPr>
          <w:rFonts w:ascii="Times New Roman" w:eastAsia="Calibri" w:hAnsi="Times New Roman" w:cs="Times New Roman"/>
        </w:rPr>
        <w:t>непродления</w:t>
      </w:r>
      <w:proofErr w:type="spellEnd"/>
      <w:r w:rsidRPr="00423340">
        <w:rPr>
          <w:rFonts w:ascii="Times New Roman" w:eastAsia="Calibri" w:hAnsi="Times New Roman" w:cs="Times New Roman"/>
        </w:rPr>
        <w:t xml:space="preserve">/непредоставления новой банковской гарантии </w:t>
      </w:r>
      <w:r w:rsidR="00423340" w:rsidRPr="00423340">
        <w:rPr>
          <w:rFonts w:ascii="Times New Roman" w:eastAsia="Calibri" w:hAnsi="Times New Roman" w:cs="Times New Roman"/>
        </w:rPr>
        <w:t xml:space="preserve">Контрагент </w:t>
      </w:r>
      <w:r w:rsidRPr="00423340">
        <w:rPr>
          <w:rFonts w:ascii="Times New Roman" w:eastAsia="Calibri" w:hAnsi="Times New Roman" w:cs="Times New Roman"/>
        </w:rPr>
        <w:t xml:space="preserve">обязан осуществить возврат </w:t>
      </w:r>
      <w:r w:rsidR="007679B8">
        <w:rPr>
          <w:rFonts w:ascii="Times New Roman" w:eastAsia="Calibri" w:hAnsi="Times New Roman" w:cs="Times New Roman"/>
        </w:rPr>
        <w:t xml:space="preserve">ранее выданного не зачтенного (неотработанного) </w:t>
      </w:r>
      <w:r w:rsidRPr="00423340">
        <w:rPr>
          <w:rFonts w:ascii="Times New Roman" w:eastAsia="Calibri" w:hAnsi="Times New Roman" w:cs="Times New Roman"/>
        </w:rPr>
        <w:t xml:space="preserve">авансового платежа в день, когда до истечения срока действия банковской гарантии остается менее </w:t>
      </w:r>
      <w:r w:rsidR="007679B8">
        <w:rPr>
          <w:rFonts w:ascii="Times New Roman" w:eastAsia="Calibri" w:hAnsi="Times New Roman" w:cs="Times New Roman"/>
        </w:rPr>
        <w:t>3</w:t>
      </w:r>
      <w:r w:rsidR="007679B8" w:rsidRPr="00423340">
        <w:rPr>
          <w:rFonts w:ascii="Times New Roman" w:eastAsia="Calibri" w:hAnsi="Times New Roman" w:cs="Times New Roman"/>
        </w:rPr>
        <w:t xml:space="preserve">0 </w:t>
      </w:r>
      <w:r w:rsidRPr="00423340">
        <w:rPr>
          <w:rFonts w:ascii="Times New Roman" w:eastAsia="Calibri" w:hAnsi="Times New Roman" w:cs="Times New Roman"/>
        </w:rPr>
        <w:t>(</w:t>
      </w:r>
      <w:r w:rsidR="007679B8">
        <w:rPr>
          <w:rFonts w:ascii="Times New Roman" w:eastAsia="Calibri" w:hAnsi="Times New Roman" w:cs="Times New Roman"/>
        </w:rPr>
        <w:t>тридцати</w:t>
      </w:r>
      <w:r w:rsidRPr="00423340">
        <w:rPr>
          <w:rFonts w:ascii="Times New Roman" w:eastAsia="Calibri" w:hAnsi="Times New Roman" w:cs="Times New Roman"/>
        </w:rPr>
        <w:t xml:space="preserve">) </w:t>
      </w:r>
      <w:r w:rsidR="007679B8">
        <w:rPr>
          <w:rFonts w:ascii="Times New Roman" w:eastAsia="Calibri" w:hAnsi="Times New Roman" w:cs="Times New Roman"/>
        </w:rPr>
        <w:t xml:space="preserve">календарных </w:t>
      </w:r>
      <w:r w:rsidRPr="00423340">
        <w:rPr>
          <w:rFonts w:ascii="Times New Roman" w:eastAsia="Calibri" w:hAnsi="Times New Roman" w:cs="Times New Roman"/>
        </w:rPr>
        <w:t xml:space="preserve">дней, в противном случае </w:t>
      </w:r>
      <w:r w:rsidR="00423340" w:rsidRPr="00423340">
        <w:rPr>
          <w:rFonts w:ascii="Times New Roman" w:eastAsia="Calibri" w:hAnsi="Times New Roman" w:cs="Times New Roman"/>
        </w:rPr>
        <w:t xml:space="preserve">Общество </w:t>
      </w:r>
      <w:r w:rsidRPr="00423340">
        <w:rPr>
          <w:rFonts w:ascii="Times New Roman" w:eastAsia="Calibri" w:hAnsi="Times New Roman" w:cs="Times New Roman"/>
        </w:rPr>
        <w:t xml:space="preserve">имеет право обратиться в </w:t>
      </w:r>
      <w:r w:rsidR="00423340" w:rsidRPr="00423340">
        <w:rPr>
          <w:rFonts w:ascii="Times New Roman" w:eastAsia="Calibri" w:hAnsi="Times New Roman" w:cs="Times New Roman"/>
        </w:rPr>
        <w:t>Б</w:t>
      </w:r>
      <w:r w:rsidRPr="00423340">
        <w:rPr>
          <w:rFonts w:ascii="Times New Roman" w:eastAsia="Calibri" w:hAnsi="Times New Roman" w:cs="Times New Roman"/>
        </w:rPr>
        <w:t>анк с требованием об осуществлении уплаты денежной суммы по действующей банковской гарантии.</w:t>
      </w:r>
    </w:p>
    <w:p w14:paraId="53503163" w14:textId="77777777" w:rsidR="00423340" w:rsidRPr="00423340" w:rsidRDefault="00423340" w:rsidP="00E808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14:paraId="468381AD" w14:textId="77777777" w:rsidR="007F1A9F" w:rsidRPr="00423340" w:rsidRDefault="007F1A9F" w:rsidP="007F1A9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423340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Возврат неиспользованного аванса</w:t>
      </w:r>
    </w:p>
    <w:p w14:paraId="3E12941A" w14:textId="77777777" w:rsidR="00E8083B" w:rsidRPr="00423340" w:rsidRDefault="0060612F" w:rsidP="00E808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Если иное не предусмотрено Договором, в</w:t>
      </w:r>
      <w:r w:rsidR="00E8083B" w:rsidRPr="00423340">
        <w:rPr>
          <w:rFonts w:ascii="Times New Roman" w:eastAsia="Calibri" w:hAnsi="Times New Roman" w:cs="Times New Roman"/>
        </w:rPr>
        <w:t xml:space="preserve"> случае, если на дату окончания срока исполнения обязательств, ранее выданный </w:t>
      </w:r>
      <w:r w:rsidR="00423340" w:rsidRPr="00423340">
        <w:rPr>
          <w:rFonts w:ascii="Times New Roman" w:eastAsia="Calibri" w:hAnsi="Times New Roman" w:cs="Times New Roman"/>
        </w:rPr>
        <w:t xml:space="preserve">Контрагенту </w:t>
      </w:r>
      <w:r w:rsidR="00E8083B" w:rsidRPr="00423340">
        <w:rPr>
          <w:rFonts w:ascii="Times New Roman" w:eastAsia="Calibri" w:hAnsi="Times New Roman" w:cs="Times New Roman"/>
        </w:rPr>
        <w:t>аванс не будет освоен (отработан, погашен, зачтён) полностью (независимо от причин и обстоятельств по которым это произошло),</w:t>
      </w:r>
      <w:r w:rsidR="00423340" w:rsidRPr="00423340">
        <w:rPr>
          <w:rFonts w:ascii="Times New Roman" w:eastAsia="Calibri" w:hAnsi="Times New Roman" w:cs="Times New Roman"/>
        </w:rPr>
        <w:t xml:space="preserve"> Общество</w:t>
      </w:r>
      <w:r w:rsidR="00E8083B" w:rsidRPr="00423340">
        <w:rPr>
          <w:rFonts w:ascii="Times New Roman" w:eastAsia="Calibri" w:hAnsi="Times New Roman" w:cs="Times New Roman"/>
        </w:rPr>
        <w:t xml:space="preserve"> вправе потребовать от </w:t>
      </w:r>
      <w:r w:rsidR="00423340" w:rsidRPr="00423340">
        <w:rPr>
          <w:rFonts w:ascii="Times New Roman" w:eastAsia="Calibri" w:hAnsi="Times New Roman" w:cs="Times New Roman"/>
        </w:rPr>
        <w:t xml:space="preserve">Контрагента </w:t>
      </w:r>
      <w:r w:rsidR="00E8083B" w:rsidRPr="00423340">
        <w:rPr>
          <w:rFonts w:ascii="Times New Roman" w:eastAsia="Calibri" w:hAnsi="Times New Roman" w:cs="Times New Roman"/>
        </w:rPr>
        <w:t xml:space="preserve">возврата неосвоенной части аванса и/или произвести односторонний зачет суммы неосвоенного аванса в счет оплаты исполненных обязательств и/или воспользоваться имеющимися банковскими гарантиями на возврат авансовых платежей, предъявив </w:t>
      </w:r>
      <w:r w:rsidR="00E8083B" w:rsidRPr="00423340">
        <w:rPr>
          <w:rFonts w:ascii="Times New Roman" w:eastAsia="Calibri" w:hAnsi="Times New Roman" w:cs="Times New Roman"/>
        </w:rPr>
        <w:lastRenderedPageBreak/>
        <w:t xml:space="preserve">соответствующее требование </w:t>
      </w:r>
      <w:r w:rsidR="00423340" w:rsidRPr="00423340">
        <w:rPr>
          <w:rFonts w:ascii="Times New Roman" w:eastAsia="Calibri" w:hAnsi="Times New Roman" w:cs="Times New Roman"/>
        </w:rPr>
        <w:t>Банку</w:t>
      </w:r>
      <w:r w:rsidR="00E8083B" w:rsidRPr="00423340">
        <w:rPr>
          <w:rFonts w:ascii="Times New Roman" w:eastAsia="Calibri" w:hAnsi="Times New Roman" w:cs="Times New Roman"/>
        </w:rPr>
        <w:t xml:space="preserve"> об оплате неосвоенной суммы аванса и/или потребовать от</w:t>
      </w:r>
      <w:r w:rsidR="00423340" w:rsidRPr="00423340">
        <w:rPr>
          <w:rFonts w:ascii="Times New Roman" w:eastAsia="Calibri" w:hAnsi="Times New Roman" w:cs="Times New Roman"/>
        </w:rPr>
        <w:t xml:space="preserve"> Контрагента </w:t>
      </w:r>
      <w:r w:rsidR="00E8083B" w:rsidRPr="00423340">
        <w:rPr>
          <w:rFonts w:ascii="Times New Roman" w:eastAsia="Calibri" w:hAnsi="Times New Roman" w:cs="Times New Roman"/>
        </w:rPr>
        <w:t>предоставления новой банковской гарантии, обеспечивающей возврат неосвоенной суммы аванса, с увеличенным сроком ее действия</w:t>
      </w:r>
      <w:r w:rsidR="00423340" w:rsidRPr="00423340">
        <w:rPr>
          <w:rFonts w:ascii="Times New Roman" w:eastAsia="Calibri" w:hAnsi="Times New Roman" w:cs="Times New Roman"/>
        </w:rPr>
        <w:t>,</w:t>
      </w:r>
      <w:r w:rsidR="00E8083B" w:rsidRPr="00423340">
        <w:rPr>
          <w:rFonts w:ascii="Times New Roman" w:eastAsia="Calibri" w:hAnsi="Times New Roman" w:cs="Times New Roman"/>
        </w:rPr>
        <w:t xml:space="preserve"> согласованным обеими Сторонами.</w:t>
      </w:r>
    </w:p>
    <w:p w14:paraId="69C88382" w14:textId="77777777" w:rsidR="00423340" w:rsidRPr="00423340" w:rsidRDefault="00423340" w:rsidP="00840F04">
      <w:pPr>
        <w:rPr>
          <w:rFonts w:ascii="Times New Roman" w:hAnsi="Times New Roman" w:cs="Times New Roman"/>
        </w:rPr>
      </w:pPr>
    </w:p>
    <w:p w14:paraId="4C69F8CE" w14:textId="77777777" w:rsidR="00423340" w:rsidRPr="00423340" w:rsidRDefault="00423340" w:rsidP="00423340">
      <w:pPr>
        <w:jc w:val="center"/>
        <w:rPr>
          <w:rFonts w:ascii="Times New Roman" w:hAnsi="Times New Roman" w:cs="Times New Roman"/>
          <w:b/>
        </w:rPr>
      </w:pPr>
      <w:r w:rsidRPr="00423340">
        <w:rPr>
          <w:rFonts w:ascii="Times New Roman" w:hAnsi="Times New Roman" w:cs="Times New Roman"/>
          <w:b/>
        </w:rPr>
        <w:t>ПОДПИСИ СТОРОН</w:t>
      </w:r>
    </w:p>
    <w:p w14:paraId="187AC3DD" w14:textId="77777777" w:rsidR="008F6416" w:rsidRPr="00423340" w:rsidRDefault="00510AAA" w:rsidP="0060612F">
      <w:pPr>
        <w:rPr>
          <w:rFonts w:ascii="Times New Roman" w:hAnsi="Times New Roman" w:cs="Times New Roman"/>
        </w:rPr>
      </w:pPr>
    </w:p>
    <w:sectPr w:rsidR="008F6416" w:rsidRPr="0042334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CFAC8" w14:textId="77777777" w:rsidR="00510AAA" w:rsidRDefault="00510AAA" w:rsidP="00DF296C">
      <w:pPr>
        <w:spacing w:after="0" w:line="240" w:lineRule="auto"/>
      </w:pPr>
      <w:r>
        <w:separator/>
      </w:r>
    </w:p>
  </w:endnote>
  <w:endnote w:type="continuationSeparator" w:id="0">
    <w:p w14:paraId="3BDCA3B9" w14:textId="77777777" w:rsidR="00510AAA" w:rsidRDefault="00510AAA" w:rsidP="00DF2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0EF50" w14:textId="77777777" w:rsidR="000C4C47" w:rsidRDefault="000C4C47" w:rsidP="000C4C47">
    <w:pPr>
      <w:pStyle w:val="af0"/>
      <w:rPr>
        <w:rFonts w:ascii="Times New Roman" w:hAnsi="Times New Roman" w:cs="Times New Roman"/>
        <w:i/>
        <w:color w:val="FF0000"/>
        <w:sz w:val="20"/>
        <w:szCs w:val="20"/>
      </w:rPr>
    </w:pPr>
  </w:p>
  <w:p w14:paraId="06098EC8" w14:textId="77777777" w:rsidR="000C4C47" w:rsidRPr="006667E9" w:rsidRDefault="000C4C47" w:rsidP="000C4C47">
    <w:pPr>
      <w:pStyle w:val="af0"/>
      <w:rPr>
        <w:rFonts w:ascii="Times New Roman" w:hAnsi="Times New Roman" w:cs="Times New Roman"/>
        <w:i/>
        <w:color w:val="FF0000"/>
        <w:sz w:val="20"/>
        <w:szCs w:val="20"/>
      </w:rPr>
    </w:pPr>
    <w:r w:rsidRPr="006667E9">
      <w:rPr>
        <w:rFonts w:ascii="Times New Roman" w:hAnsi="Times New Roman" w:cs="Times New Roman"/>
        <w:i/>
        <w:color w:val="FF0000"/>
        <w:sz w:val="20"/>
        <w:szCs w:val="20"/>
      </w:rPr>
      <w:t xml:space="preserve">В случае подписания УКЭП в колонтитул добавляется: </w:t>
    </w:r>
  </w:p>
  <w:p w14:paraId="37B74368" w14:textId="77777777" w:rsidR="000C4C47" w:rsidRPr="006667E9" w:rsidRDefault="000C4C47" w:rsidP="000C4C47">
    <w:pPr>
      <w:pStyle w:val="af0"/>
      <w:rPr>
        <w:rFonts w:ascii="Times New Roman" w:hAnsi="Times New Roman" w:cs="Times New Roman"/>
      </w:rPr>
    </w:pPr>
    <w:proofErr w:type="gramStart"/>
    <w:r w:rsidRPr="006667E9">
      <w:rPr>
        <w:rFonts w:ascii="Times New Roman" w:hAnsi="Times New Roman" w:cs="Times New Roman"/>
        <w:sz w:val="20"/>
        <w:szCs w:val="20"/>
      </w:rPr>
      <w:t>« Подписано</w:t>
    </w:r>
    <w:proofErr w:type="gramEnd"/>
    <w:r w:rsidRPr="006667E9">
      <w:rPr>
        <w:rFonts w:ascii="Times New Roman" w:hAnsi="Times New Roman" w:cs="Times New Roman"/>
        <w:sz w:val="20"/>
        <w:szCs w:val="20"/>
      </w:rPr>
      <w:t xml:space="preserve"> УКЭП »</w:t>
    </w:r>
  </w:p>
  <w:p w14:paraId="0CA1C1D4" w14:textId="77777777" w:rsidR="000C4C47" w:rsidRDefault="000C4C4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FC939" w14:textId="77777777" w:rsidR="00510AAA" w:rsidRDefault="00510AAA" w:rsidP="00DF296C">
      <w:pPr>
        <w:spacing w:after="0" w:line="240" w:lineRule="auto"/>
      </w:pPr>
      <w:r>
        <w:separator/>
      </w:r>
    </w:p>
  </w:footnote>
  <w:footnote w:type="continuationSeparator" w:id="0">
    <w:p w14:paraId="11899346" w14:textId="77777777" w:rsidR="00510AAA" w:rsidRDefault="00510AAA" w:rsidP="00DF2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0391349"/>
      <w:docPartObj>
        <w:docPartGallery w:val="Page Numbers (Top of Page)"/>
        <w:docPartUnique/>
      </w:docPartObj>
    </w:sdtPr>
    <w:sdtEndPr/>
    <w:sdtContent>
      <w:p w14:paraId="7C4604FD" w14:textId="01CFD7C9" w:rsidR="000C4C47" w:rsidRDefault="000C4C4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9A5">
          <w:rPr>
            <w:noProof/>
          </w:rPr>
          <w:t>2</w:t>
        </w:r>
        <w:r>
          <w:fldChar w:fldCharType="end"/>
        </w:r>
      </w:p>
    </w:sdtContent>
  </w:sdt>
  <w:p w14:paraId="253A6455" w14:textId="77777777" w:rsidR="000C4C47" w:rsidRDefault="000C4C47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ViUG/6Ed2dwvUtjCvDjY25jzhh6sUlw9QmYuihFUc3ttd3tBXvz8mQrO+WoSQbh8u7+1Rhtcd1fmEifp1uXVcQ==" w:salt="6O9np76lioerOANs0+Y0N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BEA"/>
    <w:rsid w:val="00006DCB"/>
    <w:rsid w:val="000653DB"/>
    <w:rsid w:val="000832C2"/>
    <w:rsid w:val="000C1DCF"/>
    <w:rsid w:val="000C4C47"/>
    <w:rsid w:val="00124126"/>
    <w:rsid w:val="00147BFA"/>
    <w:rsid w:val="00157F31"/>
    <w:rsid w:val="00175775"/>
    <w:rsid w:val="001D1970"/>
    <w:rsid w:val="001D40BD"/>
    <w:rsid w:val="002705EA"/>
    <w:rsid w:val="002A4F8C"/>
    <w:rsid w:val="002C1B6B"/>
    <w:rsid w:val="002E3600"/>
    <w:rsid w:val="00312F4A"/>
    <w:rsid w:val="0032412B"/>
    <w:rsid w:val="003E56C9"/>
    <w:rsid w:val="004073D7"/>
    <w:rsid w:val="004156F2"/>
    <w:rsid w:val="00423340"/>
    <w:rsid w:val="00471094"/>
    <w:rsid w:val="00510AAA"/>
    <w:rsid w:val="00573D4C"/>
    <w:rsid w:val="005F5997"/>
    <w:rsid w:val="0060612F"/>
    <w:rsid w:val="00641D37"/>
    <w:rsid w:val="006667E9"/>
    <w:rsid w:val="0069003A"/>
    <w:rsid w:val="006906D9"/>
    <w:rsid w:val="006E2A74"/>
    <w:rsid w:val="00722495"/>
    <w:rsid w:val="007248C7"/>
    <w:rsid w:val="00726224"/>
    <w:rsid w:val="00740C29"/>
    <w:rsid w:val="00752F5E"/>
    <w:rsid w:val="00756361"/>
    <w:rsid w:val="00760EDB"/>
    <w:rsid w:val="007679B8"/>
    <w:rsid w:val="00771A9D"/>
    <w:rsid w:val="007C5E8F"/>
    <w:rsid w:val="007E5101"/>
    <w:rsid w:val="007F1A9F"/>
    <w:rsid w:val="0080274E"/>
    <w:rsid w:val="00824BEA"/>
    <w:rsid w:val="00831A8C"/>
    <w:rsid w:val="00840F04"/>
    <w:rsid w:val="00865FBA"/>
    <w:rsid w:val="0087023B"/>
    <w:rsid w:val="00876DE5"/>
    <w:rsid w:val="009042AC"/>
    <w:rsid w:val="00914638"/>
    <w:rsid w:val="009637E9"/>
    <w:rsid w:val="009A3E56"/>
    <w:rsid w:val="009A62DB"/>
    <w:rsid w:val="00A321D5"/>
    <w:rsid w:val="00A334F4"/>
    <w:rsid w:val="00A53030"/>
    <w:rsid w:val="00AA0319"/>
    <w:rsid w:val="00AF4261"/>
    <w:rsid w:val="00B379C8"/>
    <w:rsid w:val="00B52C02"/>
    <w:rsid w:val="00B81E77"/>
    <w:rsid w:val="00BC086E"/>
    <w:rsid w:val="00BC7CC1"/>
    <w:rsid w:val="00C41C06"/>
    <w:rsid w:val="00C43750"/>
    <w:rsid w:val="00C8331B"/>
    <w:rsid w:val="00CA1AC7"/>
    <w:rsid w:val="00D20D10"/>
    <w:rsid w:val="00D4446E"/>
    <w:rsid w:val="00D64669"/>
    <w:rsid w:val="00D9237E"/>
    <w:rsid w:val="00DA0932"/>
    <w:rsid w:val="00DE39A5"/>
    <w:rsid w:val="00DF296C"/>
    <w:rsid w:val="00E01ECA"/>
    <w:rsid w:val="00E561C7"/>
    <w:rsid w:val="00E8083B"/>
    <w:rsid w:val="00E846DC"/>
    <w:rsid w:val="00EA2729"/>
    <w:rsid w:val="00EC1F6D"/>
    <w:rsid w:val="00EF7273"/>
    <w:rsid w:val="00F05D22"/>
    <w:rsid w:val="00F64CBD"/>
    <w:rsid w:val="00F774AE"/>
    <w:rsid w:val="00F87726"/>
    <w:rsid w:val="00F94DDE"/>
    <w:rsid w:val="00FD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54E5F"/>
  <w15:chartTrackingRefBased/>
  <w15:docId w15:val="{EB968DAA-E3CF-40AC-B517-1A7104DA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7CC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7CC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7CC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7CC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7CC1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C7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7CC1"/>
    <w:rPr>
      <w:rFonts w:ascii="Segoe UI" w:hAnsi="Segoe UI" w:cs="Segoe UI"/>
      <w:sz w:val="18"/>
      <w:szCs w:val="18"/>
    </w:rPr>
  </w:style>
  <w:style w:type="paragraph" w:customStyle="1" w:styleId="ConsNormal">
    <w:name w:val="ConsNormal"/>
    <w:link w:val="ConsNormal0"/>
    <w:rsid w:val="004710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471094"/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a"/>
    <w:uiPriority w:val="39"/>
    <w:rsid w:val="00B52C02"/>
    <w:pPr>
      <w:spacing w:after="12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B5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DF296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F296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F296C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0C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C4C47"/>
  </w:style>
  <w:style w:type="paragraph" w:styleId="af0">
    <w:name w:val="footer"/>
    <w:basedOn w:val="a"/>
    <w:link w:val="af1"/>
    <w:uiPriority w:val="99"/>
    <w:unhideWhenUsed/>
    <w:rsid w:val="000C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C4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1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BE978-5FA6-4366-8043-1F256A097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1094</Words>
  <Characters>6241</Characters>
  <Application>Microsoft Office Word</Application>
  <DocSecurity>8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Тищенко Олег Игоревич \ Oleg Tishchenko</dc:creator>
  <cp:keywords/>
  <dc:description/>
  <cp:lastModifiedBy>Юрчук Евгений Анатольевич \ Evgenii Iurchuk</cp:lastModifiedBy>
  <cp:revision>3</cp:revision>
  <dcterms:created xsi:type="dcterms:W3CDTF">2025-12-11T09:00:00Z</dcterms:created>
  <dcterms:modified xsi:type="dcterms:W3CDTF">2026-01-20T10:04:00Z</dcterms:modified>
</cp:coreProperties>
</file>